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B411" w14:textId="77777777" w:rsidR="00EA6DC0" w:rsidRPr="005A5D88" w:rsidRDefault="00227774">
      <w:pPr>
        <w:rPr>
          <w:b/>
          <w:sz w:val="28"/>
          <w:szCs w:val="28"/>
        </w:rPr>
      </w:pPr>
      <w:bookmarkStart w:id="0" w:name="_GoBack"/>
      <w:bookmarkEnd w:id="0"/>
      <w:r w:rsidRPr="005A5D88">
        <w:rPr>
          <w:b/>
          <w:sz w:val="28"/>
          <w:szCs w:val="28"/>
        </w:rPr>
        <w:t>Links for Module 20, SISCR 2017</w:t>
      </w:r>
    </w:p>
    <w:p w14:paraId="3BF9CB1A" w14:textId="77777777" w:rsidR="00227774" w:rsidRPr="005A5D88" w:rsidRDefault="00227774">
      <w:pPr>
        <w:rPr>
          <w:b/>
          <w:sz w:val="28"/>
          <w:szCs w:val="28"/>
        </w:rPr>
      </w:pPr>
    </w:p>
    <w:p w14:paraId="78F17B36" w14:textId="0EC1EA03" w:rsidR="00227774" w:rsidRPr="005A5D88" w:rsidRDefault="00183E47">
      <w:pPr>
        <w:rPr>
          <w:b/>
          <w:sz w:val="28"/>
          <w:szCs w:val="28"/>
        </w:rPr>
      </w:pPr>
      <w:r w:rsidRPr="005A5D88">
        <w:rPr>
          <w:b/>
          <w:sz w:val="28"/>
          <w:szCs w:val="28"/>
        </w:rPr>
        <w:t>Links for Session 2</w:t>
      </w:r>
      <w:r w:rsidR="00227774" w:rsidRPr="005A5D88">
        <w:rPr>
          <w:b/>
          <w:sz w:val="28"/>
          <w:szCs w:val="28"/>
        </w:rPr>
        <w:t>:</w:t>
      </w:r>
    </w:p>
    <w:p w14:paraId="6310AD7E" w14:textId="77777777" w:rsidR="00227774" w:rsidRPr="005A5D88" w:rsidRDefault="00227774">
      <w:pPr>
        <w:rPr>
          <w:sz w:val="28"/>
          <w:szCs w:val="28"/>
        </w:rPr>
      </w:pPr>
    </w:p>
    <w:p w14:paraId="11DCA3C0" w14:textId="77777777" w:rsidR="00227774" w:rsidRPr="005A5D88" w:rsidRDefault="00227774" w:rsidP="00227774">
      <w:pPr>
        <w:jc w:val="right"/>
        <w:rPr>
          <w:rFonts w:eastAsia="Times New Roman" w:cs="Times New Roman"/>
          <w:sz w:val="28"/>
          <w:szCs w:val="28"/>
        </w:rPr>
      </w:pPr>
      <w:r w:rsidRPr="005A5D88">
        <w:rPr>
          <w:rFonts w:eastAsia="Times New Roman" w:cs="Times New Roman"/>
          <w:sz w:val="28"/>
          <w:szCs w:val="28"/>
        </w:rPr>
        <w:t xml:space="preserve"> </w:t>
      </w:r>
    </w:p>
    <w:p w14:paraId="5882C295" w14:textId="77777777" w:rsidR="00227774" w:rsidRPr="005A5D88" w:rsidRDefault="00227774" w:rsidP="00227774">
      <w:pPr>
        <w:rPr>
          <w:rStyle w:val="Hyperlink"/>
          <w:rFonts w:eastAsia="Times New Roman" w:cs="Times New Roman"/>
          <w:sz w:val="28"/>
          <w:szCs w:val="28"/>
        </w:rPr>
      </w:pPr>
      <w:r w:rsidRPr="005A5D88">
        <w:rPr>
          <w:rFonts w:eastAsia="Times New Roman" w:cs="Times New Roman"/>
          <w:sz w:val="28"/>
          <w:szCs w:val="28"/>
        </w:rPr>
        <w:fldChar w:fldCharType="begin"/>
      </w:r>
      <w:r w:rsidRPr="005A5D88">
        <w:rPr>
          <w:rFonts w:eastAsia="Times New Roman" w:cs="Times New Roman"/>
          <w:sz w:val="28"/>
          <w:szCs w:val="28"/>
        </w:rPr>
        <w:instrText xml:space="preserve"> HYPERLINK "http://www.sciencedirect.com/science/article/pii/S0025619612003886" </w:instrText>
      </w:r>
      <w:r w:rsidRPr="005A5D88">
        <w:rPr>
          <w:rFonts w:eastAsia="Times New Roman" w:cs="Times New Roman"/>
          <w:sz w:val="28"/>
          <w:szCs w:val="28"/>
        </w:rPr>
        <w:fldChar w:fldCharType="separate"/>
      </w:r>
      <w:proofErr w:type="spellStart"/>
      <w:r w:rsidRPr="005A5D88">
        <w:rPr>
          <w:rStyle w:val="Hyperlink"/>
          <w:rFonts w:eastAsia="Times New Roman" w:cs="Times New Roman"/>
          <w:sz w:val="28"/>
          <w:szCs w:val="28"/>
        </w:rPr>
        <w:t>Dispenzieri</w:t>
      </w:r>
      <w:proofErr w:type="spellEnd"/>
      <w:r w:rsidRPr="005A5D88">
        <w:rPr>
          <w:rStyle w:val="Hyperlink"/>
          <w:rFonts w:eastAsia="Times New Roman" w:cs="Times New Roman"/>
          <w:sz w:val="28"/>
          <w:szCs w:val="28"/>
        </w:rPr>
        <w:t xml:space="preserve"> A, </w:t>
      </w:r>
      <w:proofErr w:type="spellStart"/>
      <w:r w:rsidRPr="005A5D88">
        <w:rPr>
          <w:rStyle w:val="Hyperlink"/>
          <w:rFonts w:eastAsia="Times New Roman" w:cs="Times New Roman"/>
          <w:sz w:val="28"/>
          <w:szCs w:val="28"/>
        </w:rPr>
        <w:t>Katzmann</w:t>
      </w:r>
      <w:proofErr w:type="spellEnd"/>
      <w:r w:rsidRPr="005A5D88">
        <w:rPr>
          <w:rStyle w:val="Hyperlink"/>
          <w:rFonts w:eastAsia="Times New Roman" w:cs="Times New Roman"/>
          <w:sz w:val="28"/>
          <w:szCs w:val="28"/>
        </w:rPr>
        <w:t xml:space="preserve"> JA, Kyle RA, Larson DR, </w:t>
      </w:r>
      <w:proofErr w:type="spellStart"/>
      <w:r w:rsidRPr="005A5D88">
        <w:rPr>
          <w:rStyle w:val="Hyperlink"/>
          <w:rFonts w:eastAsia="Times New Roman" w:cs="Times New Roman"/>
          <w:sz w:val="28"/>
          <w:szCs w:val="28"/>
        </w:rPr>
        <w:t>Therneau</w:t>
      </w:r>
      <w:proofErr w:type="spellEnd"/>
      <w:r w:rsidRPr="005A5D88">
        <w:rPr>
          <w:rStyle w:val="Hyperlink"/>
          <w:rFonts w:eastAsia="Times New Roman" w:cs="Times New Roman"/>
          <w:sz w:val="28"/>
          <w:szCs w:val="28"/>
        </w:rPr>
        <w:t xml:space="preserve"> TM, Colby CL, Clark RJ, Mead GP, Kumar S, Melton III LJ, </w:t>
      </w:r>
      <w:proofErr w:type="spellStart"/>
      <w:r w:rsidRPr="005A5D88">
        <w:rPr>
          <w:rStyle w:val="Hyperlink"/>
          <w:rFonts w:eastAsia="Times New Roman" w:cs="Times New Roman"/>
          <w:sz w:val="28"/>
          <w:szCs w:val="28"/>
        </w:rPr>
        <w:t>Rajkumar</w:t>
      </w:r>
      <w:proofErr w:type="spellEnd"/>
      <w:r w:rsidRPr="005A5D88">
        <w:rPr>
          <w:rStyle w:val="Hyperlink"/>
          <w:rFonts w:eastAsia="Times New Roman" w:cs="Times New Roman"/>
          <w:sz w:val="28"/>
          <w:szCs w:val="28"/>
        </w:rPr>
        <w:t xml:space="preserve"> SV. Use of </w:t>
      </w:r>
      <w:proofErr w:type="spellStart"/>
      <w:r w:rsidRPr="005A5D88">
        <w:rPr>
          <w:rStyle w:val="Hyperlink"/>
          <w:rFonts w:eastAsia="Times New Roman" w:cs="Times New Roman"/>
          <w:sz w:val="28"/>
          <w:szCs w:val="28"/>
        </w:rPr>
        <w:t>Nonclonal</w:t>
      </w:r>
      <w:proofErr w:type="spellEnd"/>
      <w:r w:rsidRPr="005A5D88">
        <w:rPr>
          <w:rStyle w:val="Hyperlink"/>
          <w:rFonts w:eastAsia="Times New Roman" w:cs="Times New Roman"/>
          <w:sz w:val="28"/>
          <w:szCs w:val="28"/>
        </w:rPr>
        <w:t xml:space="preserve"> Serum Immunoglobulin Free Light Chains to Predict Overall Survival in the General Population. Mayo Clinic Proceedings. 2012 Jun;87(6):517–523.</w:t>
      </w:r>
    </w:p>
    <w:p w14:paraId="2B6FB30F" w14:textId="77777777" w:rsidR="00227774" w:rsidRPr="005A5D88" w:rsidRDefault="00227774" w:rsidP="00227774">
      <w:pPr>
        <w:rPr>
          <w:rFonts w:eastAsia="Times New Roman" w:cs="Times New Roman"/>
          <w:sz w:val="28"/>
          <w:szCs w:val="28"/>
        </w:rPr>
      </w:pPr>
      <w:r w:rsidRPr="005A5D88">
        <w:rPr>
          <w:rFonts w:eastAsia="Times New Roman" w:cs="Times New Roman"/>
          <w:sz w:val="28"/>
          <w:szCs w:val="28"/>
        </w:rPr>
        <w:fldChar w:fldCharType="end"/>
      </w:r>
    </w:p>
    <w:p w14:paraId="7735139F" w14:textId="77777777" w:rsidR="00227774" w:rsidRPr="005A5D88" w:rsidRDefault="00227774" w:rsidP="00227774">
      <w:pPr>
        <w:rPr>
          <w:rFonts w:eastAsia="Times New Roman" w:cs="Times New Roman"/>
          <w:sz w:val="28"/>
          <w:szCs w:val="28"/>
        </w:rPr>
      </w:pPr>
    </w:p>
    <w:p w14:paraId="4A3EBE69" w14:textId="0CC82AE3" w:rsidR="00227774" w:rsidRPr="005A5D88" w:rsidRDefault="00227774" w:rsidP="00227774">
      <w:pPr>
        <w:jc w:val="right"/>
        <w:rPr>
          <w:rFonts w:eastAsia="Times New Roman" w:cs="Times New Roman"/>
          <w:sz w:val="28"/>
          <w:szCs w:val="28"/>
        </w:rPr>
      </w:pPr>
      <w:r w:rsidRPr="005A5D88">
        <w:rPr>
          <w:rFonts w:eastAsia="Times New Roman" w:cs="Times New Roman"/>
          <w:sz w:val="28"/>
          <w:szCs w:val="28"/>
        </w:rPr>
        <w:t xml:space="preserve"> </w:t>
      </w:r>
    </w:p>
    <w:p w14:paraId="641BA187" w14:textId="77777777" w:rsidR="00227774" w:rsidRPr="005A5D88" w:rsidRDefault="00ED3814" w:rsidP="00227774">
      <w:pPr>
        <w:rPr>
          <w:rFonts w:eastAsia="Times New Roman" w:cs="Times New Roman"/>
          <w:sz w:val="28"/>
          <w:szCs w:val="28"/>
        </w:rPr>
      </w:pPr>
      <w:hyperlink r:id="rId4" w:history="1">
        <w:r w:rsidR="00227774" w:rsidRPr="005A5D88">
          <w:rPr>
            <w:rStyle w:val="Hyperlink"/>
            <w:rFonts w:eastAsia="Times New Roman" w:cs="Times New Roman"/>
            <w:sz w:val="28"/>
            <w:szCs w:val="28"/>
          </w:rPr>
          <w:t xml:space="preserve">Kyle RA. “Benign” Monoclonal </w:t>
        </w:r>
        <w:proofErr w:type="spellStart"/>
        <w:r w:rsidR="00227774" w:rsidRPr="005A5D88">
          <w:rPr>
            <w:rStyle w:val="Hyperlink"/>
            <w:rFonts w:eastAsia="Times New Roman" w:cs="Times New Roman"/>
            <w:sz w:val="28"/>
            <w:szCs w:val="28"/>
          </w:rPr>
          <w:t>Gammopathy</w:t>
        </w:r>
        <w:proofErr w:type="spellEnd"/>
        <w:r w:rsidR="00227774" w:rsidRPr="005A5D88">
          <w:rPr>
            <w:rStyle w:val="Hyperlink"/>
            <w:rFonts w:eastAsia="Times New Roman" w:cs="Times New Roman"/>
            <w:sz w:val="28"/>
            <w:szCs w:val="28"/>
          </w:rPr>
          <w:t>—After 20 to 35 Years of Follow-Up. Mayo Clinic Proceedings. 1993 Jan 1;68(1):26–36.</w:t>
        </w:r>
      </w:hyperlink>
    </w:p>
    <w:p w14:paraId="13109AA7" w14:textId="77777777" w:rsidR="00CA5DF3" w:rsidRPr="005A5D88" w:rsidRDefault="00CA5DF3" w:rsidP="00227774">
      <w:pPr>
        <w:rPr>
          <w:rFonts w:eastAsia="Times New Roman" w:cs="Times New Roman"/>
          <w:sz w:val="28"/>
          <w:szCs w:val="28"/>
        </w:rPr>
      </w:pPr>
    </w:p>
    <w:p w14:paraId="7F09ADA4" w14:textId="014D47CD" w:rsidR="00CA5DF3" w:rsidRPr="005A5D88" w:rsidRDefault="00CA5DF3" w:rsidP="00CA5DF3">
      <w:pPr>
        <w:jc w:val="right"/>
        <w:rPr>
          <w:rFonts w:eastAsia="Times New Roman" w:cs="Times New Roman"/>
          <w:sz w:val="28"/>
          <w:szCs w:val="28"/>
        </w:rPr>
      </w:pPr>
      <w:r w:rsidRPr="005A5D88">
        <w:rPr>
          <w:rFonts w:eastAsia="Times New Roman" w:cs="Times New Roman"/>
          <w:sz w:val="28"/>
          <w:szCs w:val="28"/>
        </w:rPr>
        <w:t xml:space="preserve"> </w:t>
      </w:r>
    </w:p>
    <w:p w14:paraId="31575687" w14:textId="77777777" w:rsidR="00CA5DF3" w:rsidRPr="005A5D88" w:rsidRDefault="00ED3814" w:rsidP="00227774">
      <w:pPr>
        <w:rPr>
          <w:rFonts w:eastAsia="Times New Roman" w:cs="Times New Roman"/>
          <w:sz w:val="28"/>
          <w:szCs w:val="28"/>
        </w:rPr>
      </w:pPr>
      <w:hyperlink r:id="rId5" w:history="1"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 xml:space="preserve">Miller K, Wang M, </w:t>
        </w:r>
        <w:proofErr w:type="spellStart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>Gralow</w:t>
        </w:r>
        <w:proofErr w:type="spellEnd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J, </w:t>
        </w:r>
        <w:proofErr w:type="spellStart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>Dickler</w:t>
        </w:r>
        <w:proofErr w:type="spellEnd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M, </w:t>
        </w:r>
        <w:proofErr w:type="spellStart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>Cobleigh</w:t>
        </w:r>
        <w:proofErr w:type="spellEnd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M, Perez EA, </w:t>
        </w:r>
        <w:proofErr w:type="spellStart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>Shenkier</w:t>
        </w:r>
        <w:proofErr w:type="spellEnd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T, </w:t>
        </w:r>
        <w:proofErr w:type="spellStart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>Cella</w:t>
        </w:r>
        <w:proofErr w:type="spellEnd"/>
        <w:r w:rsidR="00CA5DF3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D, Davidson NE. Paclitaxel plus Bevacizumab versus Paclitaxel Alone for Metastatic Breast Cancer. New England Journal of Medicine. 2007 Dec 27;357(26):2666–2676.</w:t>
        </w:r>
      </w:hyperlink>
      <w:r w:rsidR="00CA5DF3" w:rsidRPr="005A5D88">
        <w:rPr>
          <w:rFonts w:eastAsia="Times New Roman" w:cs="Times New Roman"/>
          <w:sz w:val="28"/>
          <w:szCs w:val="28"/>
        </w:rPr>
        <w:t xml:space="preserve"> </w:t>
      </w:r>
    </w:p>
    <w:p w14:paraId="7E9F4CE2" w14:textId="77777777" w:rsidR="00CA5DF3" w:rsidRPr="005A5D88" w:rsidRDefault="00CA5DF3" w:rsidP="00227774">
      <w:pPr>
        <w:rPr>
          <w:rFonts w:eastAsia="Times New Roman" w:cs="Times New Roman"/>
          <w:sz w:val="28"/>
          <w:szCs w:val="28"/>
        </w:rPr>
      </w:pPr>
    </w:p>
    <w:p w14:paraId="4055841F" w14:textId="6965CBEE" w:rsidR="003D4F8F" w:rsidRPr="005A5D88" w:rsidRDefault="003D4F8F" w:rsidP="003D4F8F">
      <w:pPr>
        <w:jc w:val="right"/>
        <w:rPr>
          <w:rFonts w:eastAsia="Times New Roman" w:cs="Times New Roman"/>
          <w:sz w:val="28"/>
          <w:szCs w:val="28"/>
        </w:rPr>
      </w:pPr>
    </w:p>
    <w:p w14:paraId="2BBA6338" w14:textId="77777777" w:rsidR="003D4F8F" w:rsidRPr="005A5D88" w:rsidRDefault="003D4F8F" w:rsidP="003D4F8F">
      <w:pPr>
        <w:rPr>
          <w:rStyle w:val="Hyperlink"/>
          <w:rFonts w:eastAsia="Times New Roman" w:cs="Times New Roman"/>
          <w:sz w:val="28"/>
          <w:szCs w:val="28"/>
        </w:rPr>
      </w:pPr>
      <w:r w:rsidRPr="005A5D88">
        <w:rPr>
          <w:rFonts w:eastAsia="Times New Roman" w:cs="Times New Roman"/>
          <w:sz w:val="28"/>
          <w:szCs w:val="28"/>
        </w:rPr>
        <w:fldChar w:fldCharType="begin"/>
      </w:r>
      <w:r w:rsidRPr="005A5D88">
        <w:rPr>
          <w:rFonts w:eastAsia="Times New Roman" w:cs="Times New Roman"/>
          <w:sz w:val="28"/>
          <w:szCs w:val="28"/>
        </w:rPr>
        <w:instrText xml:space="preserve"> HYPERLINK "http://onlinelibrary.wiley.com.offcampus.lib.washington.edu/doi/10.1111/jgs.14516/abstract" </w:instrText>
      </w:r>
      <w:r w:rsidRPr="005A5D88">
        <w:rPr>
          <w:rFonts w:eastAsia="Times New Roman" w:cs="Times New Roman"/>
          <w:sz w:val="28"/>
          <w:szCs w:val="28"/>
        </w:rPr>
        <w:fldChar w:fldCharType="separate"/>
      </w:r>
      <w:proofErr w:type="spellStart"/>
      <w:r w:rsidRPr="005A5D88">
        <w:rPr>
          <w:rStyle w:val="Hyperlink"/>
          <w:rFonts w:eastAsia="Times New Roman" w:cs="Times New Roman"/>
          <w:sz w:val="28"/>
          <w:szCs w:val="28"/>
        </w:rPr>
        <w:t>Ashburner</w:t>
      </w:r>
      <w:proofErr w:type="spellEnd"/>
      <w:r w:rsidRPr="005A5D88">
        <w:rPr>
          <w:rStyle w:val="Hyperlink"/>
          <w:rFonts w:eastAsia="Times New Roman" w:cs="Times New Roman"/>
          <w:sz w:val="28"/>
          <w:szCs w:val="28"/>
        </w:rPr>
        <w:t xml:space="preserve"> JM, Go AS, Chang Y, Fang MC, </w:t>
      </w:r>
      <w:proofErr w:type="spellStart"/>
      <w:r w:rsidRPr="005A5D88">
        <w:rPr>
          <w:rStyle w:val="Hyperlink"/>
          <w:rFonts w:eastAsia="Times New Roman" w:cs="Times New Roman"/>
          <w:sz w:val="28"/>
          <w:szCs w:val="28"/>
        </w:rPr>
        <w:t>Fredman</w:t>
      </w:r>
      <w:proofErr w:type="spellEnd"/>
      <w:r w:rsidRPr="005A5D88">
        <w:rPr>
          <w:rStyle w:val="Hyperlink"/>
          <w:rFonts w:eastAsia="Times New Roman" w:cs="Times New Roman"/>
          <w:sz w:val="28"/>
          <w:szCs w:val="28"/>
        </w:rPr>
        <w:t xml:space="preserve"> L, </w:t>
      </w:r>
      <w:proofErr w:type="spellStart"/>
      <w:r w:rsidRPr="005A5D88">
        <w:rPr>
          <w:rStyle w:val="Hyperlink"/>
          <w:rFonts w:eastAsia="Times New Roman" w:cs="Times New Roman"/>
          <w:sz w:val="28"/>
          <w:szCs w:val="28"/>
        </w:rPr>
        <w:t>Applebaum</w:t>
      </w:r>
      <w:proofErr w:type="spellEnd"/>
      <w:r w:rsidRPr="005A5D88">
        <w:rPr>
          <w:rStyle w:val="Hyperlink"/>
          <w:rFonts w:eastAsia="Times New Roman" w:cs="Times New Roman"/>
          <w:sz w:val="28"/>
          <w:szCs w:val="28"/>
        </w:rPr>
        <w:t xml:space="preserve"> KM, Singer DE. Influence of Competing Risks on Estimating the Expected Benefit of Warfarin in Individuals with Atrial Fibrillation Not Currently Taking Anticoagulants: The Anticoagulation and Risk Factors in Atrial Fibrillation Study. J Am </w:t>
      </w:r>
      <w:proofErr w:type="spellStart"/>
      <w:r w:rsidRPr="005A5D88">
        <w:rPr>
          <w:rStyle w:val="Hyperlink"/>
          <w:rFonts w:eastAsia="Times New Roman" w:cs="Times New Roman"/>
          <w:sz w:val="28"/>
          <w:szCs w:val="28"/>
        </w:rPr>
        <w:t>Geriatr</w:t>
      </w:r>
      <w:proofErr w:type="spellEnd"/>
      <w:r w:rsidRPr="005A5D88">
        <w:rPr>
          <w:rStyle w:val="Hyperlink"/>
          <w:rFonts w:eastAsia="Times New Roman" w:cs="Times New Roman"/>
          <w:sz w:val="28"/>
          <w:szCs w:val="28"/>
        </w:rPr>
        <w:t xml:space="preserve"> Soc. 2017 Jan 1;65(1):35–41.</w:t>
      </w:r>
    </w:p>
    <w:p w14:paraId="287D1989" w14:textId="77777777" w:rsidR="00CA5DF3" w:rsidRPr="005A5D88" w:rsidRDefault="003D4F8F" w:rsidP="00227774">
      <w:pPr>
        <w:rPr>
          <w:rFonts w:eastAsia="Times New Roman" w:cs="Times New Roman"/>
          <w:sz w:val="28"/>
          <w:szCs w:val="28"/>
        </w:rPr>
      </w:pPr>
      <w:r w:rsidRPr="005A5D88">
        <w:rPr>
          <w:rFonts w:eastAsia="Times New Roman" w:cs="Times New Roman"/>
          <w:sz w:val="28"/>
          <w:szCs w:val="28"/>
        </w:rPr>
        <w:fldChar w:fldCharType="end"/>
      </w:r>
    </w:p>
    <w:p w14:paraId="62496D77" w14:textId="77777777" w:rsidR="008E4D69" w:rsidRPr="005A5D88" w:rsidRDefault="008E4D69" w:rsidP="00227774">
      <w:pPr>
        <w:rPr>
          <w:rFonts w:eastAsia="Times New Roman" w:cs="Times New Roman"/>
          <w:sz w:val="28"/>
          <w:szCs w:val="28"/>
        </w:rPr>
      </w:pPr>
    </w:p>
    <w:p w14:paraId="35F9601F" w14:textId="6FB0B6E8" w:rsidR="008E4D69" w:rsidRPr="005A5D88" w:rsidRDefault="008E4D69" w:rsidP="008E4D69">
      <w:pPr>
        <w:jc w:val="right"/>
        <w:rPr>
          <w:rFonts w:eastAsia="Times New Roman" w:cs="Times New Roman"/>
          <w:sz w:val="28"/>
          <w:szCs w:val="28"/>
        </w:rPr>
      </w:pPr>
    </w:p>
    <w:p w14:paraId="3AE962B3" w14:textId="77777777" w:rsidR="008E4D69" w:rsidRDefault="00ED3814" w:rsidP="00227774">
      <w:pPr>
        <w:rPr>
          <w:rFonts w:eastAsia="Times New Roman" w:cs="Times New Roman"/>
          <w:sz w:val="28"/>
          <w:szCs w:val="28"/>
        </w:rPr>
      </w:pPr>
      <w:hyperlink r:id="rId6" w:history="1">
        <w:proofErr w:type="spellStart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>Noordzij</w:t>
        </w:r>
        <w:proofErr w:type="spellEnd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M, </w:t>
        </w:r>
        <w:proofErr w:type="spellStart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>Leffondré</w:t>
        </w:r>
        <w:proofErr w:type="spellEnd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K, </w:t>
        </w:r>
        <w:proofErr w:type="spellStart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>Stralen</w:t>
        </w:r>
        <w:proofErr w:type="spellEnd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V, J K, Zoccali C, Dekker FW, </w:t>
        </w:r>
        <w:proofErr w:type="spellStart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>Jager</w:t>
        </w:r>
        <w:proofErr w:type="spellEnd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KJ. When do we need competing risks methods for survival analysis in nephrology? </w:t>
        </w:r>
        <w:proofErr w:type="spellStart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>Nephrol</w:t>
        </w:r>
        <w:proofErr w:type="spellEnd"/>
        <w:r w:rsidR="008E4D69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Dial Transplant. 2013 Nov 1;28(11):2670–2677.</w:t>
        </w:r>
      </w:hyperlink>
    </w:p>
    <w:p w14:paraId="47E999B8" w14:textId="77777777" w:rsidR="005A5D88" w:rsidRPr="005A5D88" w:rsidRDefault="005A5D88" w:rsidP="00227774">
      <w:pPr>
        <w:rPr>
          <w:rFonts w:eastAsia="Times New Roman" w:cs="Times New Roman"/>
          <w:sz w:val="28"/>
          <w:szCs w:val="28"/>
        </w:rPr>
      </w:pPr>
    </w:p>
    <w:p w14:paraId="729DDA19" w14:textId="77777777" w:rsidR="003A398C" w:rsidRPr="005A5D88" w:rsidRDefault="003A398C" w:rsidP="00227774">
      <w:pPr>
        <w:rPr>
          <w:rFonts w:eastAsia="Times New Roman" w:cs="Times New Roman"/>
          <w:sz w:val="28"/>
          <w:szCs w:val="28"/>
        </w:rPr>
      </w:pPr>
    </w:p>
    <w:p w14:paraId="67BB12D7" w14:textId="77777777" w:rsidR="005A5D88" w:rsidRDefault="005A5D88" w:rsidP="00227774">
      <w:pPr>
        <w:rPr>
          <w:rFonts w:eastAsia="Times New Roman" w:cs="Times New Roman"/>
          <w:sz w:val="28"/>
          <w:szCs w:val="28"/>
        </w:rPr>
      </w:pPr>
    </w:p>
    <w:p w14:paraId="0ECEAAA2" w14:textId="77777777" w:rsidR="005A5D88" w:rsidRDefault="005A5D88" w:rsidP="00227774">
      <w:pPr>
        <w:rPr>
          <w:rFonts w:eastAsia="Times New Roman" w:cs="Times New Roman"/>
          <w:sz w:val="28"/>
          <w:szCs w:val="28"/>
        </w:rPr>
      </w:pPr>
    </w:p>
    <w:p w14:paraId="2CC4E047" w14:textId="0C9FFF03" w:rsidR="003A398C" w:rsidRPr="005A5D88" w:rsidRDefault="003A398C" w:rsidP="00227774">
      <w:pPr>
        <w:rPr>
          <w:rFonts w:eastAsia="Times New Roman" w:cs="Times New Roman"/>
          <w:b/>
          <w:sz w:val="28"/>
          <w:szCs w:val="28"/>
        </w:rPr>
      </w:pPr>
      <w:r w:rsidRPr="005A5D88">
        <w:rPr>
          <w:rFonts w:eastAsia="Times New Roman" w:cs="Times New Roman"/>
          <w:b/>
          <w:sz w:val="28"/>
          <w:szCs w:val="28"/>
        </w:rPr>
        <w:lastRenderedPageBreak/>
        <w:t>Links for Session 4:</w:t>
      </w:r>
    </w:p>
    <w:p w14:paraId="2974CB3D" w14:textId="77777777" w:rsidR="005A5D88" w:rsidRPr="005A5D88" w:rsidRDefault="005A5D88" w:rsidP="00227774">
      <w:pPr>
        <w:rPr>
          <w:rFonts w:eastAsia="Times New Roman" w:cs="Times New Roman"/>
          <w:sz w:val="28"/>
          <w:szCs w:val="28"/>
        </w:rPr>
      </w:pPr>
    </w:p>
    <w:p w14:paraId="7106DBFF" w14:textId="683D26B7" w:rsidR="003A398C" w:rsidRPr="005A5D88" w:rsidRDefault="00ED3814" w:rsidP="00227774">
      <w:pPr>
        <w:rPr>
          <w:rFonts w:eastAsia="Times New Roman" w:cs="Times New Roman"/>
          <w:sz w:val="28"/>
          <w:szCs w:val="28"/>
        </w:rPr>
      </w:pPr>
      <w:hyperlink r:id="rId7" w:history="1">
        <w:proofErr w:type="spellStart"/>
        <w:r w:rsidR="003A398C" w:rsidRPr="005A5D88">
          <w:rPr>
            <w:rStyle w:val="Hyperlink"/>
            <w:rFonts w:eastAsia="Times New Roman" w:cs="Times New Roman"/>
            <w:sz w:val="28"/>
            <w:szCs w:val="28"/>
          </w:rPr>
          <w:t>Redelmeier</w:t>
        </w:r>
        <w:proofErr w:type="spellEnd"/>
        <w:r w:rsidR="003A398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DA, Singh SM. Survival in Academy Award Winning Actors and Actresses. Annals of Internal Medicine. 2001 May 15;134(10):955.</w:t>
        </w:r>
      </w:hyperlink>
    </w:p>
    <w:p w14:paraId="0D032794" w14:textId="77777777" w:rsidR="003A398C" w:rsidRPr="005A5D88" w:rsidRDefault="003A398C" w:rsidP="00227774">
      <w:pPr>
        <w:rPr>
          <w:rFonts w:eastAsia="Times New Roman" w:cs="Times New Roman"/>
          <w:sz w:val="28"/>
          <w:szCs w:val="28"/>
        </w:rPr>
      </w:pPr>
    </w:p>
    <w:p w14:paraId="321047F1" w14:textId="0AF37CD3" w:rsidR="00ED441B" w:rsidRPr="005A5D88" w:rsidRDefault="00ED441B" w:rsidP="00ED441B">
      <w:pPr>
        <w:jc w:val="right"/>
        <w:rPr>
          <w:rFonts w:eastAsia="Times New Roman" w:cs="Times New Roman"/>
          <w:sz w:val="28"/>
          <w:szCs w:val="28"/>
        </w:rPr>
      </w:pPr>
    </w:p>
    <w:p w14:paraId="4D121E39" w14:textId="1D26C745" w:rsidR="003A398C" w:rsidRPr="005A5D88" w:rsidRDefault="00ED3814" w:rsidP="00227774">
      <w:pPr>
        <w:rPr>
          <w:rFonts w:eastAsia="Times New Roman" w:cs="Times New Roman"/>
          <w:sz w:val="28"/>
          <w:szCs w:val="28"/>
        </w:rPr>
      </w:pPr>
      <w:hyperlink r:id="rId8" w:history="1">
        <w:proofErr w:type="spellStart"/>
        <w:r w:rsidR="00ED441B" w:rsidRPr="005A5D88">
          <w:rPr>
            <w:rStyle w:val="Hyperlink"/>
            <w:rFonts w:eastAsia="Times New Roman" w:cs="Times New Roman"/>
            <w:sz w:val="28"/>
            <w:szCs w:val="28"/>
          </w:rPr>
          <w:t>Söderberg-Nauclér</w:t>
        </w:r>
        <w:proofErr w:type="spellEnd"/>
        <w:r w:rsidR="00ED441B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C, </w:t>
        </w:r>
        <w:proofErr w:type="spellStart"/>
        <w:r w:rsidR="00ED441B" w:rsidRPr="005A5D88">
          <w:rPr>
            <w:rStyle w:val="Hyperlink"/>
            <w:rFonts w:eastAsia="Times New Roman" w:cs="Times New Roman"/>
            <w:sz w:val="28"/>
            <w:szCs w:val="28"/>
          </w:rPr>
          <w:t>Rahbar</w:t>
        </w:r>
        <w:proofErr w:type="spellEnd"/>
        <w:r w:rsidR="00ED441B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A, </w:t>
        </w:r>
        <w:proofErr w:type="spellStart"/>
        <w:r w:rsidR="00ED441B" w:rsidRPr="005A5D88">
          <w:rPr>
            <w:rStyle w:val="Hyperlink"/>
            <w:rFonts w:eastAsia="Times New Roman" w:cs="Times New Roman"/>
            <w:sz w:val="28"/>
            <w:szCs w:val="28"/>
          </w:rPr>
          <w:t>Stragliotto</w:t>
        </w:r>
        <w:proofErr w:type="spellEnd"/>
        <w:r w:rsidR="00ED441B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G. Survival in Patients with Glioblastoma Receiving </w:t>
        </w:r>
        <w:proofErr w:type="spellStart"/>
        <w:r w:rsidR="00ED441B" w:rsidRPr="005A5D88">
          <w:rPr>
            <w:rStyle w:val="Hyperlink"/>
            <w:rFonts w:eastAsia="Times New Roman" w:cs="Times New Roman"/>
            <w:sz w:val="28"/>
            <w:szCs w:val="28"/>
          </w:rPr>
          <w:t>Valganciclovir</w:t>
        </w:r>
        <w:proofErr w:type="spellEnd"/>
        <w:r w:rsidR="00ED441B" w:rsidRPr="005A5D88">
          <w:rPr>
            <w:rStyle w:val="Hyperlink"/>
            <w:rFonts w:eastAsia="Times New Roman" w:cs="Times New Roman"/>
            <w:sz w:val="28"/>
            <w:szCs w:val="28"/>
          </w:rPr>
          <w:t>. New England Journal of Medicine. 2013 Sep 5;369(10):985–986.</w:t>
        </w:r>
      </w:hyperlink>
      <w:r w:rsidR="00ED441B" w:rsidRPr="005A5D88">
        <w:rPr>
          <w:rFonts w:eastAsia="Times New Roman" w:cs="Times New Roman"/>
          <w:sz w:val="28"/>
          <w:szCs w:val="28"/>
        </w:rPr>
        <w:t xml:space="preserve"> </w:t>
      </w:r>
    </w:p>
    <w:p w14:paraId="011A066A" w14:textId="77777777" w:rsidR="0090742C" w:rsidRPr="005A5D88" w:rsidRDefault="0090742C" w:rsidP="00227774">
      <w:pPr>
        <w:rPr>
          <w:rFonts w:eastAsia="Times New Roman" w:cs="Times New Roman"/>
          <w:sz w:val="28"/>
          <w:szCs w:val="28"/>
        </w:rPr>
      </w:pPr>
    </w:p>
    <w:p w14:paraId="3F13D9B1" w14:textId="0609FADD" w:rsidR="0090742C" w:rsidRPr="005A5D88" w:rsidRDefault="0090742C" w:rsidP="0090742C">
      <w:pPr>
        <w:jc w:val="right"/>
        <w:rPr>
          <w:rFonts w:eastAsia="Times New Roman" w:cs="Times New Roman"/>
          <w:sz w:val="28"/>
          <w:szCs w:val="28"/>
        </w:rPr>
      </w:pPr>
    </w:p>
    <w:p w14:paraId="5E74D391" w14:textId="07D31EA0" w:rsidR="0090742C" w:rsidRPr="005A5D88" w:rsidRDefault="00ED3814" w:rsidP="00227774">
      <w:pPr>
        <w:rPr>
          <w:rFonts w:eastAsia="Times New Roman" w:cs="Times New Roman"/>
          <w:sz w:val="28"/>
          <w:szCs w:val="28"/>
        </w:rPr>
      </w:pPr>
      <w:hyperlink r:id="rId9" w:history="1"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Suissa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S. Immortal time bias in observational studies of drug effects.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Pharmacoepidem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Drug Safe. 2007 Mar 1;16(3):241–249.</w:t>
        </w:r>
      </w:hyperlink>
    </w:p>
    <w:p w14:paraId="494A866A" w14:textId="77777777" w:rsidR="0090742C" w:rsidRPr="005A5D88" w:rsidRDefault="0090742C" w:rsidP="00227774">
      <w:pPr>
        <w:rPr>
          <w:rFonts w:eastAsia="Times New Roman" w:cs="Times New Roman"/>
          <w:sz w:val="28"/>
          <w:szCs w:val="28"/>
        </w:rPr>
      </w:pPr>
    </w:p>
    <w:p w14:paraId="606E598F" w14:textId="1F0E6373" w:rsidR="0090742C" w:rsidRPr="005A5D88" w:rsidRDefault="0090742C" w:rsidP="0090742C">
      <w:pPr>
        <w:jc w:val="right"/>
        <w:rPr>
          <w:rFonts w:eastAsia="Times New Roman" w:cs="Times New Roman"/>
          <w:sz w:val="28"/>
          <w:szCs w:val="28"/>
        </w:rPr>
      </w:pPr>
    </w:p>
    <w:p w14:paraId="4B136361" w14:textId="602B740A" w:rsidR="0090742C" w:rsidRPr="005A5D88" w:rsidRDefault="00ED3814" w:rsidP="00227774">
      <w:pPr>
        <w:rPr>
          <w:rFonts w:eastAsia="Times New Roman" w:cs="Times New Roman"/>
          <w:sz w:val="28"/>
          <w:szCs w:val="28"/>
        </w:rPr>
      </w:pPr>
      <w:hyperlink r:id="rId10" w:history="1"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Rich JD, Cannon CP, Murphy SA, Qin J,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Giugliano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RP,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Braunwald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E. Prior Aspirin Use and Outcomes in Acute Coronary Syndromes. Journal of the American College of Cardiology. 2010 Oct 19;56(17):1376–1385.</w:t>
        </w:r>
      </w:hyperlink>
    </w:p>
    <w:p w14:paraId="7E0F8077" w14:textId="77777777" w:rsidR="0090742C" w:rsidRPr="005A5D88" w:rsidRDefault="0090742C" w:rsidP="00227774">
      <w:pPr>
        <w:rPr>
          <w:rFonts w:eastAsia="Times New Roman" w:cs="Times New Roman"/>
          <w:sz w:val="28"/>
          <w:szCs w:val="28"/>
        </w:rPr>
      </w:pPr>
    </w:p>
    <w:p w14:paraId="69143C4E" w14:textId="1A67E6CF" w:rsidR="0090742C" w:rsidRPr="005A5D88" w:rsidRDefault="0090742C" w:rsidP="0090742C">
      <w:pPr>
        <w:jc w:val="right"/>
        <w:rPr>
          <w:rFonts w:eastAsia="Times New Roman" w:cs="Times New Roman"/>
          <w:sz w:val="28"/>
          <w:szCs w:val="28"/>
        </w:rPr>
      </w:pPr>
      <w:r w:rsidRPr="005A5D88">
        <w:rPr>
          <w:rFonts w:eastAsia="Times New Roman" w:cs="Times New Roman"/>
          <w:sz w:val="28"/>
          <w:szCs w:val="28"/>
        </w:rPr>
        <w:t xml:space="preserve"> </w:t>
      </w:r>
    </w:p>
    <w:p w14:paraId="485A6948" w14:textId="3A0E617D" w:rsidR="0090742C" w:rsidRPr="005A5D88" w:rsidRDefault="00ED3814" w:rsidP="0090742C">
      <w:pPr>
        <w:rPr>
          <w:rFonts w:eastAsia="Times New Roman" w:cs="Times New Roman"/>
          <w:sz w:val="28"/>
          <w:szCs w:val="28"/>
        </w:rPr>
      </w:pPr>
      <w:hyperlink r:id="rId11" w:history="1"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Gruberg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L,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Weissman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NJ, Waksman R, Fuchs S,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Deible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R,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Pinnow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EE, Ahmed LM, Kent KM,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Pichard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AD,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Suddath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WO,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Satler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 xml:space="preserve"> LF, Lindsay J. The impact of obesity on the short-term </w:t>
        </w:r>
        <w:proofErr w:type="spellStart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andlong</w:t>
        </w:r>
        <w:proofErr w:type="spellEnd"/>
        <w:r w:rsidR="0090742C" w:rsidRPr="005A5D88">
          <w:rPr>
            <w:rStyle w:val="Hyperlink"/>
            <w:rFonts w:eastAsia="Times New Roman" w:cs="Times New Roman"/>
            <w:sz w:val="28"/>
            <w:szCs w:val="28"/>
          </w:rPr>
          <w:t>-term outcomes after percutaneous coronary intervention: the obesity paradox? Journal of the American College of Cardiology. 2002 Feb 20;39(4):578–584</w:t>
        </w:r>
      </w:hyperlink>
      <w:r w:rsidR="0090742C" w:rsidRPr="005A5D88">
        <w:rPr>
          <w:rFonts w:eastAsia="Times New Roman" w:cs="Times New Roman"/>
          <w:sz w:val="28"/>
          <w:szCs w:val="28"/>
        </w:rPr>
        <w:t>.</w:t>
      </w:r>
    </w:p>
    <w:p w14:paraId="01368458" w14:textId="77777777" w:rsidR="005A5D88" w:rsidRPr="005A5D88" w:rsidRDefault="005A5D88" w:rsidP="0090742C">
      <w:pPr>
        <w:rPr>
          <w:rFonts w:eastAsia="Times New Roman" w:cs="Times New Roman"/>
          <w:sz w:val="28"/>
          <w:szCs w:val="28"/>
        </w:rPr>
      </w:pPr>
    </w:p>
    <w:p w14:paraId="00A5BA75" w14:textId="77777777" w:rsidR="005A5D88" w:rsidRPr="005A5D88" w:rsidRDefault="005A5D88" w:rsidP="0090742C">
      <w:pPr>
        <w:rPr>
          <w:rFonts w:eastAsia="Times New Roman" w:cs="Times New Roman"/>
          <w:sz w:val="28"/>
          <w:szCs w:val="28"/>
        </w:rPr>
      </w:pPr>
    </w:p>
    <w:p w14:paraId="7602489D" w14:textId="77777777" w:rsidR="005A5D88" w:rsidRPr="005A5D88" w:rsidRDefault="005A5D88" w:rsidP="005A5D88">
      <w:pPr>
        <w:pStyle w:val="NormalWeb"/>
        <w:spacing w:before="96" w:beforeAutospacing="0" w:after="0" w:afterAutospacing="0"/>
        <w:textAlignment w:val="baseline"/>
        <w:rPr>
          <w:rFonts w:ascii="Arial" w:eastAsia="MS PGothic" w:hAnsi="Arial" w:cs="Arial"/>
          <w:b/>
          <w:color w:val="000000" w:themeColor="text1"/>
          <w:kern w:val="24"/>
          <w:sz w:val="28"/>
          <w:szCs w:val="28"/>
        </w:rPr>
      </w:pPr>
      <w:r w:rsidRPr="005A5D88">
        <w:rPr>
          <w:rFonts w:ascii="Arial" w:eastAsia="MS PGothic" w:hAnsi="Arial" w:cs="Arial"/>
          <w:b/>
          <w:color w:val="000000" w:themeColor="text1"/>
          <w:kern w:val="24"/>
          <w:sz w:val="28"/>
          <w:szCs w:val="28"/>
        </w:rPr>
        <w:t>Good Introductory Books on Survival Analysis:</w:t>
      </w:r>
    </w:p>
    <w:p w14:paraId="50A89889" w14:textId="77777777" w:rsidR="005A5D88" w:rsidRPr="005A5D88" w:rsidRDefault="005A5D88" w:rsidP="005A5D88">
      <w:pPr>
        <w:pStyle w:val="NormalWeb"/>
        <w:spacing w:before="96" w:beforeAutospacing="0" w:after="0" w:afterAutospacing="0"/>
        <w:textAlignment w:val="baseline"/>
        <w:rPr>
          <w:rFonts w:ascii="Arial" w:eastAsia="MS PGothic" w:hAnsi="Arial" w:cs="Arial"/>
          <w:b/>
          <w:color w:val="000000" w:themeColor="text1"/>
          <w:kern w:val="24"/>
          <w:sz w:val="28"/>
          <w:szCs w:val="28"/>
        </w:rPr>
      </w:pPr>
    </w:p>
    <w:p w14:paraId="6EF09004" w14:textId="2E309F9C" w:rsidR="005A5D88" w:rsidRPr="005A5D88" w:rsidRDefault="005A5D88" w:rsidP="005A5D88">
      <w:pPr>
        <w:jc w:val="right"/>
        <w:rPr>
          <w:rFonts w:eastAsia="Times New Roman" w:cs="Times New Roman"/>
          <w:sz w:val="28"/>
          <w:szCs w:val="28"/>
        </w:rPr>
      </w:pPr>
    </w:p>
    <w:p w14:paraId="1DD1D7E6" w14:textId="77777777" w:rsidR="005A5D88" w:rsidRPr="005A5D88" w:rsidRDefault="00ED3814" w:rsidP="005A5D88">
      <w:pPr>
        <w:rPr>
          <w:rFonts w:eastAsia="Times New Roman"/>
          <w:sz w:val="28"/>
          <w:szCs w:val="28"/>
        </w:rPr>
      </w:pPr>
      <w:hyperlink r:id="rId12" w:history="1">
        <w:proofErr w:type="spellStart"/>
        <w:r w:rsidR="005A5D88" w:rsidRPr="005A5D88">
          <w:rPr>
            <w:rStyle w:val="Hyperlink"/>
            <w:rFonts w:eastAsia="Times New Roman"/>
            <w:sz w:val="28"/>
            <w:szCs w:val="28"/>
          </w:rPr>
          <w:t>Kleinbaum</w:t>
        </w:r>
        <w:proofErr w:type="spellEnd"/>
        <w:r w:rsidR="005A5D88" w:rsidRPr="005A5D88">
          <w:rPr>
            <w:rStyle w:val="Hyperlink"/>
            <w:rFonts w:eastAsia="Times New Roman"/>
            <w:sz w:val="28"/>
            <w:szCs w:val="28"/>
          </w:rPr>
          <w:t xml:space="preserve"> DG, Klein M. Survival Analysis [Internet]. New York, NY: Springer New York; 2012</w:t>
        </w:r>
      </w:hyperlink>
    </w:p>
    <w:p w14:paraId="16546282" w14:textId="77777777" w:rsidR="005A5D88" w:rsidRPr="005A5D88" w:rsidRDefault="005A5D88" w:rsidP="005A5D88">
      <w:pPr>
        <w:rPr>
          <w:rFonts w:eastAsia="Times New Roman"/>
          <w:sz w:val="28"/>
          <w:szCs w:val="28"/>
        </w:rPr>
      </w:pPr>
    </w:p>
    <w:p w14:paraId="78B2D684" w14:textId="3D05876C" w:rsidR="005A5D88" w:rsidRDefault="00ED3814" w:rsidP="0090742C">
      <w:pPr>
        <w:rPr>
          <w:rFonts w:eastAsia="Times New Roman"/>
          <w:sz w:val="28"/>
          <w:szCs w:val="28"/>
        </w:rPr>
      </w:pPr>
      <w:hyperlink r:id="rId13" w:history="1">
        <w:r w:rsidR="005A5D88" w:rsidRPr="005A5D88">
          <w:rPr>
            <w:rStyle w:val="Hyperlink"/>
            <w:rFonts w:eastAsia="Times New Roman"/>
            <w:sz w:val="28"/>
            <w:szCs w:val="28"/>
          </w:rPr>
          <w:t xml:space="preserve">Hosmer D., </w:t>
        </w:r>
        <w:proofErr w:type="spellStart"/>
        <w:r w:rsidR="005A5D88" w:rsidRPr="005A5D88">
          <w:rPr>
            <w:rStyle w:val="Hyperlink"/>
            <w:rFonts w:eastAsia="Times New Roman"/>
            <w:sz w:val="28"/>
            <w:szCs w:val="28"/>
          </w:rPr>
          <w:t>Lemeshow</w:t>
        </w:r>
        <w:proofErr w:type="spellEnd"/>
        <w:r w:rsidR="005A5D88" w:rsidRPr="005A5D88">
          <w:rPr>
            <w:rStyle w:val="Hyperlink"/>
            <w:rFonts w:eastAsia="Times New Roman"/>
            <w:sz w:val="28"/>
            <w:szCs w:val="28"/>
          </w:rPr>
          <w:t xml:space="preserve"> S., May S. Applied survival analysis: regression modeling of time-to-event data [Internet]. 2nd ed. Hoboken, N.J.: Wiley-</w:t>
        </w:r>
        <w:proofErr w:type="spellStart"/>
        <w:r w:rsidR="005A5D88" w:rsidRPr="005A5D88">
          <w:rPr>
            <w:rStyle w:val="Hyperlink"/>
            <w:rFonts w:eastAsia="Times New Roman"/>
            <w:sz w:val="28"/>
            <w:szCs w:val="28"/>
          </w:rPr>
          <w:t>Interscience</w:t>
        </w:r>
        <w:proofErr w:type="spellEnd"/>
        <w:r w:rsidR="005A5D88" w:rsidRPr="005A5D88">
          <w:rPr>
            <w:rStyle w:val="Hyperlink"/>
            <w:rFonts w:eastAsia="Times New Roman"/>
            <w:sz w:val="28"/>
            <w:szCs w:val="28"/>
          </w:rPr>
          <w:t>; 2008</w:t>
        </w:r>
      </w:hyperlink>
    </w:p>
    <w:sectPr w:rsidR="005A5D88" w:rsidSect="00290B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74"/>
    <w:rsid w:val="00001D3F"/>
    <w:rsid w:val="00044DDC"/>
    <w:rsid w:val="00045A1F"/>
    <w:rsid w:val="000C66F8"/>
    <w:rsid w:val="000D67A9"/>
    <w:rsid w:val="000E3D36"/>
    <w:rsid w:val="00183E47"/>
    <w:rsid w:val="00216BE0"/>
    <w:rsid w:val="00227774"/>
    <w:rsid w:val="00263238"/>
    <w:rsid w:val="00287C51"/>
    <w:rsid w:val="00290B9F"/>
    <w:rsid w:val="003A091E"/>
    <w:rsid w:val="003A398C"/>
    <w:rsid w:val="003C40C7"/>
    <w:rsid w:val="003D4F8F"/>
    <w:rsid w:val="0052000D"/>
    <w:rsid w:val="00524326"/>
    <w:rsid w:val="00534F32"/>
    <w:rsid w:val="005A5D88"/>
    <w:rsid w:val="00680F0C"/>
    <w:rsid w:val="006B3BD7"/>
    <w:rsid w:val="006C31C3"/>
    <w:rsid w:val="00726822"/>
    <w:rsid w:val="00880AE1"/>
    <w:rsid w:val="008E4D69"/>
    <w:rsid w:val="0090742C"/>
    <w:rsid w:val="009201B6"/>
    <w:rsid w:val="00970B84"/>
    <w:rsid w:val="00AB54A6"/>
    <w:rsid w:val="00AE0764"/>
    <w:rsid w:val="00AE6CC2"/>
    <w:rsid w:val="00B36D41"/>
    <w:rsid w:val="00B572CF"/>
    <w:rsid w:val="00B800BF"/>
    <w:rsid w:val="00BC1CC3"/>
    <w:rsid w:val="00CA3F21"/>
    <w:rsid w:val="00CA5DF3"/>
    <w:rsid w:val="00D92AC8"/>
    <w:rsid w:val="00DB663A"/>
    <w:rsid w:val="00EA6DC0"/>
    <w:rsid w:val="00ED3814"/>
    <w:rsid w:val="00ED441B"/>
    <w:rsid w:val="00EE170F"/>
    <w:rsid w:val="00EE5697"/>
    <w:rsid w:val="00F73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E0450B"/>
  <w15:docId w15:val="{8CA02E60-918A-44CE-A65B-342901D2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7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7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39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6935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4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050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55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9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850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70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3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2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54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551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113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56/NEJMc1302145" TargetMode="External"/><Relationship Id="rId13" Type="http://schemas.openxmlformats.org/officeDocument/2006/relationships/hyperlink" Target="http://onlinelibrary.wiley.com.offcampus.lib.washington.edu/book/10.1002/9780470258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nals.org/article.aspx?doi=10.7326/0003-4819-134-10-200105150-00009" TargetMode="External"/><Relationship Id="rId12" Type="http://schemas.openxmlformats.org/officeDocument/2006/relationships/hyperlink" Target="http://link.springer.com/10.1007/978-1-4419-6646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.oup.com/ndt/article/28/11/2670/1823847/When-do-we-need-competing-risks-methods-for" TargetMode="External"/><Relationship Id="rId11" Type="http://schemas.openxmlformats.org/officeDocument/2006/relationships/hyperlink" Target="http://www.sciencedirect.com/science/article/pii/S0735109701018022" TargetMode="External"/><Relationship Id="rId5" Type="http://schemas.openxmlformats.org/officeDocument/2006/relationships/hyperlink" Target="http://dx.doi.org/10.1056/NEJMoa0721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/article/pii/S0735109710034522" TargetMode="External"/><Relationship Id="rId4" Type="http://schemas.openxmlformats.org/officeDocument/2006/relationships/hyperlink" Target="http://www.sciencedirect.com/science/article/pii/S0025619612600159" TargetMode="External"/><Relationship Id="rId9" Type="http://schemas.openxmlformats.org/officeDocument/2006/relationships/hyperlink" Target="http://onlinelibrary.wiley.com/doi/10.1002/pds.1357/abstr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McKnight</dc:creator>
  <cp:keywords/>
  <dc:description/>
  <cp:lastModifiedBy>Deb Nelson</cp:lastModifiedBy>
  <cp:revision>2</cp:revision>
  <dcterms:created xsi:type="dcterms:W3CDTF">2017-07-28T13:57:00Z</dcterms:created>
  <dcterms:modified xsi:type="dcterms:W3CDTF">2017-07-28T13:57:00Z</dcterms:modified>
</cp:coreProperties>
</file>